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43" w:rsidRDefault="00897343" w:rsidP="00897343">
      <w:pPr>
        <w:rPr>
          <w:rFonts w:ascii="Franklin Gothic Book" w:hAnsi="Franklin Gothic Book"/>
          <w:sz w:val="32"/>
          <w:u w:val="single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B7F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316B3E">
        <w:rPr>
          <w:rFonts w:ascii="Franklin Gothic Book" w:hAnsi="Franklin Gothic Book"/>
          <w:sz w:val="32"/>
        </w:rPr>
        <w:t>Summer Transition Work</w:t>
      </w:r>
      <w:r w:rsidR="00CF2A73" w:rsidRPr="00897343">
        <w:rPr>
          <w:rFonts w:ascii="Franklin Gothic Book" w:hAnsi="Franklin Gothic Book"/>
          <w:sz w:val="32"/>
        </w:rPr>
        <w:t xml:space="preserve"> </w:t>
      </w:r>
      <w:r w:rsidR="00396740">
        <w:rPr>
          <w:rFonts w:ascii="Franklin Gothic Book" w:hAnsi="Franklin Gothic Book"/>
          <w:sz w:val="32"/>
        </w:rPr>
        <w:t>English Literature</w:t>
      </w:r>
    </w:p>
    <w:p w:rsidR="00943E7E" w:rsidRPr="00943E7E" w:rsidRDefault="00943E7E" w:rsidP="00CF2A73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0FD" wp14:editId="28636F7C">
                <wp:simplePos x="0" y="0"/>
                <wp:positionH relativeFrom="column">
                  <wp:posOffset>-10160</wp:posOffset>
                </wp:positionH>
                <wp:positionV relativeFrom="paragraph">
                  <wp:posOffset>112395</wp:posOffset>
                </wp:positionV>
                <wp:extent cx="5899604" cy="955040"/>
                <wp:effectExtent l="0" t="0" r="254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04" cy="95504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A9" w:rsidRDefault="000369A9" w:rsidP="000369A9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3363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Using at least two examples of literature from different periods of history, e</w:t>
                            </w:r>
                            <w:r w:rsidR="000847A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xplore how the theme of love</w:t>
                            </w:r>
                            <w:r w:rsidRPr="0023363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is conveyed with reference to language, form and structure. You can also refer to literary criticism to explore your ideas and present different viewpoints. </w:t>
                            </w:r>
                          </w:p>
                          <w:p w:rsidR="009C5A30" w:rsidRPr="009C5A30" w:rsidRDefault="009C5A30" w:rsidP="00396740">
                            <w:pPr>
                              <w:pStyle w:val="ListParagraph"/>
                              <w:ind w:left="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1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pt;margin-top:8.85pt;width:464.55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" fillcolor="#c00000" strokeweight=".5pt">
                <v:fill opacity="9766f"/>
                <v:textbox>
                  <w:txbxContent>
                    <w:p w:rsidR="000369A9" w:rsidRDefault="000369A9" w:rsidP="000369A9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33632">
                        <w:rPr>
                          <w:rFonts w:ascii="Arial" w:hAnsi="Arial" w:cs="Arial"/>
                          <w:i/>
                          <w:iCs/>
                        </w:rPr>
                        <w:t>Using at least two examples of literature from different periods of history, e</w:t>
                      </w:r>
                      <w:r w:rsidR="000847A0">
                        <w:rPr>
                          <w:rFonts w:ascii="Arial" w:hAnsi="Arial" w:cs="Arial"/>
                          <w:i/>
                          <w:iCs/>
                        </w:rPr>
                        <w:t>xplore how the theme of love</w:t>
                      </w:r>
                      <w:r w:rsidRPr="00233632">
                        <w:rPr>
                          <w:rFonts w:ascii="Arial" w:hAnsi="Arial" w:cs="Arial"/>
                          <w:i/>
                          <w:iCs/>
                        </w:rPr>
                        <w:t xml:space="preserve"> is conveyed with reference to language, form and structure. You can also refer to literary criticism to explore your ideas and present different viewpoints. </w:t>
                      </w:r>
                    </w:p>
                    <w:p w:rsidR="009C5A30" w:rsidRPr="009C5A30" w:rsidRDefault="009C5A30" w:rsidP="00396740">
                      <w:pPr>
                        <w:pStyle w:val="ListParagraph"/>
                        <w:ind w:left="0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A73" w:rsidRPr="00943E7E" w:rsidRDefault="00CF2A73" w:rsidP="00CF2A73">
      <w:pPr>
        <w:rPr>
          <w:rFonts w:ascii="Franklin Gothic Book" w:hAnsi="Franklin Gothic Book"/>
          <w:sz w:val="24"/>
          <w:szCs w:val="24"/>
          <w:u w:val="single"/>
        </w:rPr>
      </w:pPr>
    </w:p>
    <w:p w:rsidR="00943E7E" w:rsidRDefault="00943E7E" w:rsidP="00943E7E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631FD5" w:rsidRPr="000369A9" w:rsidRDefault="000369A9" w:rsidP="00036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ranklin Gothic Book" w:eastAsia="Times New Roman" w:hAnsi="Franklin Gothic Book" w:cs="Arial"/>
          <w:i/>
          <w:sz w:val="24"/>
          <w:szCs w:val="24"/>
          <w:lang w:val="en-US" w:eastAsia="en-GB"/>
        </w:rPr>
      </w:pPr>
      <w:r w:rsidRPr="000369A9">
        <w:rPr>
          <w:rFonts w:ascii="Franklin Gothic Book" w:eastAsia="Times New Roman" w:hAnsi="Franklin Gothic Book" w:cs="Arial"/>
          <w:i/>
          <w:sz w:val="24"/>
          <w:szCs w:val="24"/>
          <w:lang w:val="en-US" w:eastAsia="en-GB"/>
        </w:rPr>
        <w:t>25 marks</w:t>
      </w:r>
    </w:p>
    <w:p w:rsidR="00AC4FCF" w:rsidRDefault="00AC4FCF" w:rsidP="000369A9">
      <w:pPr>
        <w:jc w:val="right"/>
        <w:rPr>
          <w:rFonts w:ascii="Franklin Gothic Book" w:hAnsi="Franklin Gothic Book"/>
        </w:rPr>
      </w:pPr>
    </w:p>
    <w:p w:rsidR="000369A9" w:rsidRPr="00233632" w:rsidRDefault="000369A9" w:rsidP="000369A9">
      <w:pPr>
        <w:rPr>
          <w:rFonts w:ascii="Arial" w:hAnsi="Arial" w:cs="Arial"/>
          <w:i/>
          <w:iCs/>
        </w:rPr>
      </w:pPr>
      <w:r w:rsidRPr="00233632">
        <w:rPr>
          <w:rFonts w:ascii="Arial" w:hAnsi="Arial" w:cs="Arial"/>
          <w:i/>
          <w:iCs/>
        </w:rPr>
        <w:t xml:space="preserve">In your response you can use poetry, prose or plays. </w:t>
      </w:r>
    </w:p>
    <w:p w:rsidR="000369A9" w:rsidRDefault="000369A9" w:rsidP="000369A9">
      <w:pPr>
        <w:rPr>
          <w:rFonts w:ascii="Arial" w:hAnsi="Arial" w:cs="Arial"/>
        </w:rPr>
      </w:pPr>
    </w:p>
    <w:p w:rsidR="000369A9" w:rsidRPr="00233632" w:rsidRDefault="000369A9" w:rsidP="000369A9">
      <w:p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You will be marked on the following assessment objectives: </w:t>
      </w:r>
    </w:p>
    <w:p w:rsidR="000369A9" w:rsidRPr="00233632" w:rsidRDefault="000369A9" w:rsidP="000369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AO1-Articulate informed, personal and creative responses to literary texts, using associated concepts and terminology, and coherent, accurate written expression. (28%) </w:t>
      </w:r>
    </w:p>
    <w:p w:rsidR="000369A9" w:rsidRPr="00233632" w:rsidRDefault="000369A9" w:rsidP="000369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AO2-Analyse ways in which meanings are shaped in literary texts. (24%) </w:t>
      </w:r>
    </w:p>
    <w:p w:rsidR="000369A9" w:rsidRPr="00233632" w:rsidRDefault="000369A9" w:rsidP="000369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AO3-Demonstrate understanding of the significance and influence of the contexts in which literary texts are written and received. (24%) </w:t>
      </w:r>
    </w:p>
    <w:p w:rsidR="000369A9" w:rsidRPr="00233632" w:rsidRDefault="000369A9" w:rsidP="000369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>AO4-Explore connections across literary texts. (12%) AO5 Explore literary texts informed by different interpretations. (12%)</w:t>
      </w:r>
    </w:p>
    <w:p w:rsidR="000369A9" w:rsidRPr="00233632" w:rsidRDefault="000369A9" w:rsidP="000369A9">
      <w:pPr>
        <w:rPr>
          <w:rFonts w:ascii="Arial" w:hAnsi="Arial" w:cs="Arial"/>
        </w:rPr>
      </w:pPr>
    </w:p>
    <w:p w:rsidR="000369A9" w:rsidRPr="00233632" w:rsidRDefault="000369A9" w:rsidP="000369A9">
      <w:pPr>
        <w:rPr>
          <w:rFonts w:ascii="Arial" w:hAnsi="Arial" w:cs="Arial"/>
        </w:rPr>
      </w:pPr>
      <w:r w:rsidRPr="00233632">
        <w:rPr>
          <w:rFonts w:ascii="Arial" w:hAnsi="Arial" w:cs="Arial"/>
        </w:rPr>
        <w:t>Useful websites:</w:t>
      </w:r>
    </w:p>
    <w:p w:rsidR="000369A9" w:rsidRPr="00233632" w:rsidRDefault="000369A9" w:rsidP="000369A9">
      <w:pPr>
        <w:rPr>
          <w:rFonts w:ascii="Arial" w:hAnsi="Arial" w:cs="Arial"/>
        </w:rPr>
      </w:pPr>
      <w:hyperlink r:id="rId7" w:history="1">
        <w:r w:rsidRPr="00233632">
          <w:rPr>
            <w:rStyle w:val="Hyperlink"/>
            <w:rFonts w:ascii="Arial" w:hAnsi="Arial" w:cs="Arial"/>
          </w:rPr>
          <w:t>http://www.ipl.org/div/pf/entry/48496</w:t>
        </w:r>
      </w:hyperlink>
      <w:r w:rsidRPr="00233632">
        <w:rPr>
          <w:rFonts w:ascii="Arial" w:hAnsi="Arial" w:cs="Arial"/>
        </w:rPr>
        <w:t xml:space="preserve"> (Literary criticism)</w:t>
      </w:r>
    </w:p>
    <w:p w:rsidR="000369A9" w:rsidRPr="00233632" w:rsidRDefault="000369A9" w:rsidP="000369A9">
      <w:pPr>
        <w:rPr>
          <w:rFonts w:ascii="Arial" w:hAnsi="Arial" w:cs="Arial"/>
        </w:rPr>
      </w:pPr>
      <w:hyperlink r:id="rId8" w:anchor="q=extracts+from+contemporary+texts+about+identity" w:history="1">
        <w:r w:rsidRPr="00233632">
          <w:rPr>
            <w:rStyle w:val="Hyperlink"/>
            <w:rFonts w:ascii="Arial" w:hAnsi="Arial" w:cs="Arial"/>
          </w:rPr>
          <w:t>https://www.google.co.uk/search?q=literary+criticism&amp;oq=literary+criticism&amp;aqs=chrome..69i57j0l5.4305j0j7&amp;sourceid=chrome&amp;ie=UTF-8#q=extracts+from+contemporary+texts+about+identity</w:t>
        </w:r>
      </w:hyperlink>
      <w:r w:rsidRPr="00233632">
        <w:rPr>
          <w:rFonts w:ascii="Arial" w:hAnsi="Arial" w:cs="Arial"/>
        </w:rPr>
        <w:t xml:space="preserve"> (finding extracts from contemporary texts)</w:t>
      </w:r>
    </w:p>
    <w:p w:rsidR="000369A9" w:rsidRPr="00233632" w:rsidRDefault="000369A9" w:rsidP="000369A9">
      <w:pPr>
        <w:rPr>
          <w:rFonts w:ascii="Arial" w:hAnsi="Arial" w:cs="Arial"/>
        </w:rPr>
      </w:pPr>
      <w:hyperlink r:id="rId9" w:anchor="q=extracts+from+victorian+texts+about+identity" w:history="1">
        <w:r w:rsidRPr="00233632">
          <w:rPr>
            <w:rStyle w:val="Hyperlink"/>
            <w:rFonts w:ascii="Arial" w:hAnsi="Arial" w:cs="Arial"/>
          </w:rPr>
          <w:t>https://www.google.co.uk/search?q=literary+criticism&amp;oq=literary+criticism&amp;aqs=chrome..69i57j0l5.4305j0j7&amp;sourceid=chrome&amp;ie=UTF-8#q=extracts+from+victorian+texts+about+identity</w:t>
        </w:r>
      </w:hyperlink>
      <w:r w:rsidRPr="00233632">
        <w:rPr>
          <w:rFonts w:ascii="Arial" w:hAnsi="Arial" w:cs="Arial"/>
        </w:rPr>
        <w:t xml:space="preserve"> (finding extracts from Victorian texts)</w:t>
      </w:r>
    </w:p>
    <w:p w:rsidR="000369A9" w:rsidRPr="00233632" w:rsidRDefault="000369A9" w:rsidP="000369A9">
      <w:pPr>
        <w:rPr>
          <w:rFonts w:ascii="Arial" w:hAnsi="Arial" w:cs="Arial"/>
        </w:rPr>
      </w:pPr>
      <w:hyperlink r:id="rId10" w:anchor="q=extracts+from+elizabethan+texts+about+identity" w:history="1">
        <w:r w:rsidRPr="00233632">
          <w:rPr>
            <w:rStyle w:val="Hyperlink"/>
            <w:rFonts w:ascii="Arial" w:hAnsi="Arial" w:cs="Arial"/>
          </w:rPr>
          <w:t>https://www.google.co.uk/search?q=literary+criticism&amp;oq=literary+criticism&amp;aqs=chrome..69i57j0l5.4305j0j7&amp;sourceid=chrome&amp;ie=UTF-8#q=extracts+from+elizabethan+texts+about+identity</w:t>
        </w:r>
      </w:hyperlink>
      <w:r w:rsidRPr="00233632">
        <w:rPr>
          <w:rFonts w:ascii="Arial" w:hAnsi="Arial" w:cs="Arial"/>
        </w:rPr>
        <w:t xml:space="preserve"> (finding extracts from Elizabethan texts)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4"/>
        <w:gridCol w:w="1465"/>
        <w:gridCol w:w="1465"/>
        <w:gridCol w:w="1465"/>
        <w:gridCol w:w="1465"/>
        <w:gridCol w:w="1467"/>
      </w:tblGrid>
      <w:tr w:rsidR="000369A9" w:rsidRPr="001B272C" w:rsidTr="00974D24"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A9" w:rsidRPr="00233632" w:rsidRDefault="000369A9" w:rsidP="00974D24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233632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 xml:space="preserve">Mark Scheme.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1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Articulate informed, personal and creative responses to literary texts, using associated concepts and terminology, and coherent, accurate written expression.</w:t>
            </w:r>
          </w:p>
        </w:tc>
        <w:tc>
          <w:tcPr>
            <w:tcW w:w="809" w:type="pct"/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2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Analyse ways in which meanings are shaped in literary texts.</w:t>
            </w:r>
          </w:p>
        </w:tc>
        <w:tc>
          <w:tcPr>
            <w:tcW w:w="886" w:type="pct"/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3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Demonstrate understanding of the significance and influence of the contexts in which literary texts are written and received.</w:t>
            </w:r>
          </w:p>
        </w:tc>
        <w:tc>
          <w:tcPr>
            <w:tcW w:w="732" w:type="pct"/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4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Explore connections across literary texts.</w:t>
            </w:r>
          </w:p>
        </w:tc>
        <w:tc>
          <w:tcPr>
            <w:tcW w:w="812" w:type="pct"/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5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Explore literary texts informed by different interpretations.</w:t>
            </w:r>
          </w:p>
        </w:tc>
      </w:tr>
      <w:tr w:rsidR="000369A9" w:rsidRPr="001B272C" w:rsidTr="00974D24">
        <w:tc>
          <w:tcPr>
            <w:tcW w:w="928" w:type="pct"/>
            <w:tcBorders>
              <w:top w:val="single" w:sz="4" w:space="0" w:color="auto"/>
            </w:tcBorders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Band 1: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Largely irrelevant/largely misunderstood/largely inaccurate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1–5 marks</w:t>
            </w:r>
          </w:p>
        </w:tc>
        <w:tc>
          <w:tcPr>
            <w:tcW w:w="4072" w:type="pct"/>
            <w:gridSpan w:val="5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some vague points in relation to the task and some ideas about task and text(s)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the writing is likely to be unclear and incorrect; if it is accurate the content will be irrelevant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little sense of the AOs in relation to the task; little sense of how meanings are shaped; little sense of any relevant contexts; little sense of any connection arising out of comparative study; little sense of an argument in relation to the task</w:t>
            </w:r>
          </w:p>
        </w:tc>
      </w:tr>
      <w:tr w:rsidR="000369A9" w:rsidRPr="001B272C" w:rsidTr="00974D24">
        <w:tc>
          <w:tcPr>
            <w:tcW w:w="928" w:type="pct"/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Band 2: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Simple/generalised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6–10 marks</w:t>
            </w:r>
          </w:p>
        </w:tc>
        <w:tc>
          <w:tcPr>
            <w:tcW w:w="8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 simple structure to the argument which may not be consistent but which does relate to the task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generalised use of literary critical concepts and terminology; simple expression</w:t>
            </w:r>
          </w:p>
        </w:tc>
        <w:tc>
          <w:tcPr>
            <w:tcW w:w="809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simple understanding of authorial methods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generalised engagement with how meanings are shaped by the methods used</w:t>
            </w:r>
          </w:p>
        </w:tc>
        <w:tc>
          <w:tcPr>
            <w:tcW w:w="886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simple understanding of the significance of relevant contexts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generalised connections between those contexts and the comparative texts studied</w:t>
            </w:r>
          </w:p>
        </w:tc>
        <w:tc>
          <w:tcPr>
            <w:tcW w:w="7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simple exploration of connections across literary texts arising out of comparative study</w:t>
            </w:r>
          </w:p>
        </w:tc>
        <w:tc>
          <w:tcPr>
            <w:tcW w:w="81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simple and generalised response to interpretations, including over time</w:t>
            </w:r>
          </w:p>
        </w:tc>
      </w:tr>
      <w:tr w:rsidR="000369A9" w:rsidRPr="001B272C" w:rsidTr="00974D24">
        <w:tc>
          <w:tcPr>
            <w:tcW w:w="928" w:type="pct"/>
          </w:tcPr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Band 3: Straightforward/relevant 11–15 marks</w:t>
            </w:r>
          </w:p>
        </w:tc>
        <w:tc>
          <w:tcPr>
            <w:tcW w:w="8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sensibly ordered ideas in a relevant argument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some use of literary critical concepts and terminology which are mainly appropriate; straightforward and clear expression</w:t>
            </w:r>
          </w:p>
        </w:tc>
        <w:tc>
          <w:tcPr>
            <w:tcW w:w="809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straightforward understanding of authorial methods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relevant engagement with how meanings are shaped by the methods used</w:t>
            </w:r>
          </w:p>
        </w:tc>
        <w:tc>
          <w:tcPr>
            <w:tcW w:w="886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straightforward understanding of the significance of relevant contexts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relevant connections between those contexts and the comparative texts studied</w:t>
            </w:r>
          </w:p>
        </w:tc>
        <w:tc>
          <w:tcPr>
            <w:tcW w:w="7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explores connections across literary texts arising out of comparative study in a straightforward way</w:t>
            </w:r>
          </w:p>
        </w:tc>
        <w:tc>
          <w:tcPr>
            <w:tcW w:w="81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straightforward engagement with interpretations, including over time</w:t>
            </w:r>
          </w:p>
        </w:tc>
      </w:tr>
      <w:tr w:rsidR="000369A9" w:rsidRPr="001B272C" w:rsidTr="00974D24">
        <w:tc>
          <w:tcPr>
            <w:tcW w:w="928" w:type="pct"/>
          </w:tcPr>
          <w:p w:rsidR="000369A9" w:rsidRPr="001B272C" w:rsidRDefault="000369A9" w:rsidP="00974D24">
            <w:p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Band 4: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Coherent/ thorough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16–20 marks</w:t>
            </w:r>
          </w:p>
        </w:tc>
        <w:tc>
          <w:tcPr>
            <w:tcW w:w="8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logical, thorough and coherent argument in relation to the task where ideas </w:t>
            </w:r>
            <w:r w:rsidRPr="001B272C">
              <w:rPr>
                <w:sz w:val="16"/>
                <w:szCs w:val="16"/>
              </w:rPr>
              <w:lastRenderedPageBreak/>
              <w:t xml:space="preserve">are debated in depth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appropriate use of literary critical concepts and terminology; precise and accurate expression</w:t>
            </w:r>
          </w:p>
        </w:tc>
        <w:tc>
          <w:tcPr>
            <w:tcW w:w="809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lastRenderedPageBreak/>
              <w:t xml:space="preserve">thorough understanding of authorial methods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lastRenderedPageBreak/>
              <w:t>thorough engagement with how meanings are shaped by the methods used</w:t>
            </w:r>
          </w:p>
        </w:tc>
        <w:tc>
          <w:tcPr>
            <w:tcW w:w="886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lastRenderedPageBreak/>
              <w:t xml:space="preserve">thorough understanding of the significance of relevant contexts in </w:t>
            </w:r>
            <w:r w:rsidRPr="001B272C">
              <w:rPr>
                <w:sz w:val="16"/>
                <w:szCs w:val="16"/>
              </w:rPr>
              <w:lastRenderedPageBreak/>
              <w:t xml:space="preserve">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coherence in the connection between those contexts and the comparative texts studied</w:t>
            </w:r>
          </w:p>
        </w:tc>
        <w:tc>
          <w:tcPr>
            <w:tcW w:w="7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lastRenderedPageBreak/>
              <w:t xml:space="preserve">logical and consistent exploration of connections across literary texts </w:t>
            </w:r>
            <w:r w:rsidRPr="001B272C">
              <w:rPr>
                <w:sz w:val="16"/>
                <w:szCs w:val="16"/>
              </w:rPr>
              <w:lastRenderedPageBreak/>
              <w:t>arising out of comparative study</w:t>
            </w:r>
          </w:p>
        </w:tc>
        <w:tc>
          <w:tcPr>
            <w:tcW w:w="81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lastRenderedPageBreak/>
              <w:t>thorough engagement with interpretations, including over time</w:t>
            </w:r>
          </w:p>
        </w:tc>
      </w:tr>
      <w:tr w:rsidR="000369A9" w:rsidRPr="001B272C" w:rsidTr="00974D24">
        <w:tc>
          <w:tcPr>
            <w:tcW w:w="928" w:type="pct"/>
          </w:tcPr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Band 5: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Perceptive/assured </w:t>
            </w:r>
          </w:p>
          <w:p w:rsidR="000369A9" w:rsidRPr="001B272C" w:rsidRDefault="000369A9" w:rsidP="00974D24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21–25 marks</w:t>
            </w:r>
          </w:p>
        </w:tc>
        <w:tc>
          <w:tcPr>
            <w:tcW w:w="8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perceptive, assured and sophisticated argument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assured use of literary critical concepts and terminology; mature and impressive expression</w:t>
            </w:r>
          </w:p>
        </w:tc>
        <w:tc>
          <w:tcPr>
            <w:tcW w:w="809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 understanding of authorial methods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assured engagement with how meanings are shaped by the methods used</w:t>
            </w:r>
          </w:p>
        </w:tc>
        <w:tc>
          <w:tcPr>
            <w:tcW w:w="886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 understanding of the significance of relevant contexts in relation to the task </w:t>
            </w:r>
          </w:p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assuredness in the connection between those contexts and the comparative texts studied</w:t>
            </w:r>
          </w:p>
        </w:tc>
        <w:tc>
          <w:tcPr>
            <w:tcW w:w="73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perceptive exploration of connections across literary texts arising out of comparative study</w:t>
            </w:r>
          </w:p>
        </w:tc>
        <w:tc>
          <w:tcPr>
            <w:tcW w:w="812" w:type="pct"/>
          </w:tcPr>
          <w:p w:rsidR="000369A9" w:rsidRPr="001B272C" w:rsidRDefault="000369A9" w:rsidP="000369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perceptive and confident engagement with interpretations, including over time</w:t>
            </w:r>
          </w:p>
        </w:tc>
      </w:tr>
    </w:tbl>
    <w:p w:rsidR="000369A9" w:rsidRPr="00233632" w:rsidRDefault="000369A9" w:rsidP="000369A9">
      <w:pPr>
        <w:rPr>
          <w:rFonts w:ascii="Arial" w:hAnsi="Arial" w:cs="Arial"/>
        </w:rPr>
      </w:pPr>
    </w:p>
    <w:p w:rsidR="000369A9" w:rsidRPr="00CF2A73" w:rsidRDefault="000369A9" w:rsidP="000369A9">
      <w:pPr>
        <w:jc w:val="both"/>
        <w:rPr>
          <w:rFonts w:ascii="Franklin Gothic Book" w:hAnsi="Franklin Gothic Book"/>
        </w:rPr>
      </w:pPr>
    </w:p>
    <w:sectPr w:rsidR="000369A9" w:rsidRPr="00CF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E66"/>
    <w:multiLevelType w:val="hybridMultilevel"/>
    <w:tmpl w:val="3DAEA4C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05"/>
    <w:multiLevelType w:val="hybridMultilevel"/>
    <w:tmpl w:val="B7108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720EF"/>
    <w:multiLevelType w:val="hybridMultilevel"/>
    <w:tmpl w:val="AD3A2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23FF"/>
    <w:multiLevelType w:val="hybridMultilevel"/>
    <w:tmpl w:val="4350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2084"/>
    <w:multiLevelType w:val="hybridMultilevel"/>
    <w:tmpl w:val="C4347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54552"/>
    <w:multiLevelType w:val="hybridMultilevel"/>
    <w:tmpl w:val="CE866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43D0B"/>
    <w:multiLevelType w:val="hybridMultilevel"/>
    <w:tmpl w:val="82EE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07D2C"/>
    <w:multiLevelType w:val="hybridMultilevel"/>
    <w:tmpl w:val="59E41416"/>
    <w:lvl w:ilvl="0" w:tplc="72780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369A9"/>
    <w:rsid w:val="00072ACD"/>
    <w:rsid w:val="000847A0"/>
    <w:rsid w:val="0011375F"/>
    <w:rsid w:val="00310229"/>
    <w:rsid w:val="00316B3E"/>
    <w:rsid w:val="00396740"/>
    <w:rsid w:val="003E66C5"/>
    <w:rsid w:val="00631FD5"/>
    <w:rsid w:val="00637809"/>
    <w:rsid w:val="00653029"/>
    <w:rsid w:val="00706F1A"/>
    <w:rsid w:val="00714AAB"/>
    <w:rsid w:val="00815EA4"/>
    <w:rsid w:val="00897343"/>
    <w:rsid w:val="00943E7E"/>
    <w:rsid w:val="009C5A30"/>
    <w:rsid w:val="00AC4FCF"/>
    <w:rsid w:val="00BE2235"/>
    <w:rsid w:val="00C47A91"/>
    <w:rsid w:val="00CF2A73"/>
    <w:rsid w:val="00D5443B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38A9"/>
  <w15:docId w15:val="{023F8354-C3EF-4C44-81CA-51EE38A6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3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9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q=literary+criticism&amp;oq=literary+criticism&amp;aqs=chrome..69i57j0l5.4305j0j7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l.org/div/pf/entry/484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search?q=literary+criticism&amp;oq=literary+criticism&amp;aqs=chrome..69i57j0l5.4305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search?q=literary+criticism&amp;oq=literary+criticism&amp;aqs=chrome..69i57j0l5.4305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B5DF-15C0-47AE-8971-BBBE11C4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3</cp:revision>
  <cp:lastPrinted>2018-07-05T15:38:00Z</cp:lastPrinted>
  <dcterms:created xsi:type="dcterms:W3CDTF">2018-07-05T15:39:00Z</dcterms:created>
  <dcterms:modified xsi:type="dcterms:W3CDTF">2018-07-05T15:39:00Z</dcterms:modified>
</cp:coreProperties>
</file>